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ind w:left="0" w:leftChars="0" w:firstLine="1040" w:firstLineChars="200"/>
        <w:jc w:val="center"/>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ind w:left="0" w:leftChars="0" w:firstLine="1040" w:firstLineChars="200"/>
        <w:jc w:val="right"/>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jc w:val="both"/>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ind w:left="0" w:leftChars="0" w:firstLine="1040" w:firstLineChars="200"/>
        <w:jc w:val="center"/>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ind w:firstLine="1040" w:firstLineChars="200"/>
        <w:jc w:val="both"/>
        <w:textAlignment w:val="auto"/>
        <w:rPr>
          <w:rFonts w:hint="eastAsia" w:ascii="Times New Roman" w:hAnsi="Times New Roman"/>
          <w:sz w:val="52"/>
          <w:szCs w:val="52"/>
        </w:rPr>
      </w:pPr>
      <w:r>
        <w:rPr>
          <w:rFonts w:hint="eastAsia" w:ascii="Times New Roman" w:hAnsi="Times New Roman"/>
          <w:sz w:val="52"/>
          <w:szCs w:val="52"/>
        </w:rPr>
        <w:t>20</w:t>
      </w:r>
      <w:r>
        <w:rPr>
          <w:rFonts w:hint="eastAsia" w:ascii="Times New Roman" w:hAnsi="Times New Roman"/>
          <w:sz w:val="52"/>
          <w:szCs w:val="52"/>
          <w:lang w:val="en-US" w:eastAsia="zh-CN"/>
        </w:rPr>
        <w:t>25</w:t>
      </w:r>
      <w:r>
        <w:rPr>
          <w:rFonts w:hint="eastAsia" w:ascii="Times New Roman" w:hAnsi="Times New Roman"/>
          <w:sz w:val="52"/>
          <w:szCs w:val="52"/>
        </w:rPr>
        <w:t>年中共三亚市委组织部</w:t>
      </w:r>
    </w:p>
    <w:p>
      <w:pPr>
        <w:keepNext w:val="0"/>
        <w:keepLines w:val="0"/>
        <w:pageBreakBefore w:val="0"/>
        <w:widowControl w:val="0"/>
        <w:kinsoku/>
        <w:wordWrap/>
        <w:overflowPunct/>
        <w:topLinePunct w:val="0"/>
        <w:autoSpaceDE/>
        <w:autoSpaceDN/>
        <w:bidi w:val="0"/>
        <w:adjustRightInd/>
        <w:spacing w:line="578" w:lineRule="exact"/>
        <w:ind w:firstLine="3120" w:firstLineChars="600"/>
        <w:jc w:val="both"/>
        <w:textAlignment w:val="auto"/>
        <w:rPr>
          <w:rFonts w:hint="eastAsia" w:eastAsia="宋体"/>
          <w:sz w:val="52"/>
          <w:szCs w:val="52"/>
          <w:lang w:eastAsia="zh-CN"/>
        </w:rPr>
      </w:pPr>
      <w:r>
        <w:rPr>
          <w:rFonts w:hint="eastAsia" w:ascii="Times New Roman" w:hAnsi="Times New Roman"/>
          <w:sz w:val="52"/>
          <w:szCs w:val="52"/>
          <w:lang w:eastAsia="zh-CN"/>
        </w:rPr>
        <w:t>单位</w:t>
      </w:r>
      <w:r>
        <w:rPr>
          <w:rFonts w:hint="eastAsia" w:ascii="Times New Roman" w:hAnsi="Times New Roman"/>
          <w:sz w:val="52"/>
          <w:szCs w:val="52"/>
        </w:rPr>
        <w:t>预算</w:t>
      </w: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jc w:val="both"/>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jc w:val="center"/>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ascii="黑体" w:hAnsi="黑体" w:eastAsia="黑体"/>
          <w:sz w:val="52"/>
          <w:szCs w:val="52"/>
        </w:rPr>
      </w:pPr>
      <w:r>
        <w:rPr>
          <w:rFonts w:hint="eastAsia" w:ascii="黑体" w:hAnsi="黑体" w:eastAsia="黑体"/>
          <w:sz w:val="52"/>
          <w:szCs w:val="52"/>
        </w:rPr>
        <w:t>目录</w:t>
      </w:r>
    </w:p>
    <w:p>
      <w:pPr>
        <w:pStyle w:val="2"/>
        <w:keepNext w:val="0"/>
        <w:keepLines w:val="0"/>
        <w:pageBreakBefore w:val="0"/>
        <w:widowControl w:val="0"/>
        <w:kinsoku/>
        <w:wordWrap/>
        <w:overflowPunct/>
        <w:topLinePunct w:val="0"/>
        <w:autoSpaceDE/>
        <w:autoSpaceDN/>
        <w:bidi w:val="0"/>
        <w:adjustRightInd/>
        <w:spacing w:line="578" w:lineRule="exact"/>
        <w:textAlignment w:val="auto"/>
      </w:pP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320" w:firstLineChars="100"/>
        <w:jc w:val="both"/>
        <w:textAlignment w:val="auto"/>
        <w:rPr>
          <w:rFonts w:ascii="黑体" w:hAnsi="黑体" w:eastAsia="黑体"/>
          <w:sz w:val="32"/>
          <w:szCs w:val="32"/>
        </w:rPr>
      </w:pPr>
      <w:r>
        <w:rPr>
          <w:rFonts w:hint="eastAsia" w:ascii="黑体" w:hAnsi="黑体" w:eastAsia="黑体" w:cs="黑体"/>
          <w:sz w:val="32"/>
          <w:szCs w:val="32"/>
          <w:lang w:val="en-US" w:eastAsia="zh-CN"/>
        </w:rPr>
        <w:t xml:space="preserve">第一部分  </w:t>
      </w:r>
      <w:r>
        <w:rPr>
          <w:rFonts w:hint="eastAsia" w:ascii="黑体" w:hAnsi="黑体" w:eastAsia="黑体" w:cs="黑体"/>
          <w:sz w:val="32"/>
          <w:szCs w:val="32"/>
          <w:lang w:eastAsia="zh-CN"/>
        </w:rPr>
        <w:t>中共三亚市委组织部</w:t>
      </w:r>
      <w:r>
        <w:rPr>
          <w:rFonts w:hint="eastAsia" w:ascii="黑体" w:hAnsi="黑体" w:eastAsia="黑体"/>
          <w:sz w:val="32"/>
          <w:szCs w:val="32"/>
          <w:lang w:eastAsia="zh-CN"/>
        </w:rPr>
        <w:t>（单位）概况</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both"/>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both"/>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预算单位构成</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320" w:firstLineChars="100"/>
        <w:jc w:val="both"/>
        <w:textAlignment w:val="auto"/>
        <w:rPr>
          <w:rFonts w:ascii="黑体" w:hAnsi="黑体" w:eastAsia="黑体"/>
          <w:sz w:val="32"/>
          <w:szCs w:val="32"/>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中共三亚市委组织部</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七、单位</w:t>
      </w:r>
      <w:r>
        <w:rPr>
          <w:rFonts w:hint="eastAsia" w:ascii="仿宋_GB2312" w:hAnsi="仿宋_GB2312" w:eastAsia="仿宋_GB2312" w:cs="仿宋_GB2312"/>
          <w:sz w:val="32"/>
          <w:szCs w:val="32"/>
        </w:rPr>
        <w:t>收支总表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八、单位</w:t>
      </w:r>
      <w:r>
        <w:rPr>
          <w:rFonts w:hint="eastAsia" w:ascii="仿宋_GB2312" w:hAnsi="仿宋_GB2312" w:eastAsia="仿宋_GB2312" w:cs="仿宋_GB2312"/>
          <w:sz w:val="32"/>
          <w:szCs w:val="32"/>
        </w:rPr>
        <w:t>收入总表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九、单位</w:t>
      </w:r>
      <w:r>
        <w:rPr>
          <w:rFonts w:hint="eastAsia" w:ascii="仿宋_GB2312" w:hAnsi="仿宋_GB2312" w:eastAsia="仿宋_GB2312" w:cs="仿宋_GB2312"/>
          <w:sz w:val="32"/>
          <w:szCs w:val="32"/>
        </w:rPr>
        <w:t>支出总表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中共三亚市委组织部</w:t>
      </w:r>
      <w:r>
        <w:rPr>
          <w:rFonts w:hint="eastAsia" w:ascii="黑体" w:hAnsi="黑体" w:eastAsia="黑体"/>
          <w:sz w:val="32"/>
          <w:szCs w:val="32"/>
          <w:lang w:eastAsia="zh-CN"/>
        </w:rPr>
        <w:t>（单位）</w:t>
      </w:r>
      <w:r>
        <w:rPr>
          <w:rFonts w:hint="eastAsia" w:ascii="黑体" w:hAnsi="黑体" w:eastAsia="黑体"/>
          <w:sz w:val="32"/>
          <w:szCs w:val="32"/>
        </w:rPr>
        <w:t xml:space="preserve">预算情况说明 </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仿宋_GB2312" w:hAnsi="仿宋_GB2312" w:eastAsia="仿宋_GB2312" w:cs="仿宋_GB2312"/>
          <w:sz w:val="32"/>
          <w:szCs w:val="32"/>
        </w:rPr>
      </w:pPr>
      <w:r>
        <w:rPr>
          <w:rFonts w:hint="eastAsia" w:ascii="黑体" w:hAnsi="黑体" w:eastAsia="黑体"/>
          <w:sz w:val="32"/>
          <w:szCs w:val="32"/>
          <w:lang w:eastAsia="zh-CN"/>
        </w:rPr>
        <w:t>第四部分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7"/>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黑体" w:hAnsi="黑体" w:eastAsia="黑体"/>
          <w:sz w:val="32"/>
          <w:szCs w:val="32"/>
        </w:rPr>
      </w:pPr>
    </w:p>
    <w:p>
      <w:pPr>
        <w:pStyle w:val="2"/>
        <w:keepNext w:val="0"/>
        <w:keepLines w:val="0"/>
        <w:pageBreakBefore w:val="0"/>
        <w:widowControl w:val="0"/>
        <w:kinsoku/>
        <w:wordWrap/>
        <w:overflowPunct/>
        <w:topLinePunct w:val="0"/>
        <w:autoSpaceDE/>
        <w:autoSpaceDN/>
        <w:bidi w:val="0"/>
        <w:adjustRightInd/>
        <w:spacing w:line="578" w:lineRule="exact"/>
        <w:textAlignment w:val="auto"/>
      </w:pP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sz w:val="32"/>
          <w:szCs w:val="32"/>
          <w:lang w:eastAsia="zh-CN"/>
        </w:rPr>
        <w:t>第一部分</w:t>
      </w:r>
      <w:r>
        <w:rPr>
          <w:rFonts w:hint="eastAsia" w:ascii="黑体" w:hAnsi="黑体" w:eastAsia="黑体"/>
          <w:sz w:val="32"/>
          <w:szCs w:val="32"/>
        </w:rPr>
        <w:t xml:space="preserve">  中共三亚市委组织部</w:t>
      </w:r>
      <w:r>
        <w:rPr>
          <w:rFonts w:hint="eastAsia" w:ascii="黑体" w:hAnsi="黑体" w:eastAsia="黑体"/>
          <w:sz w:val="32"/>
          <w:szCs w:val="32"/>
          <w:lang w:eastAsia="zh-CN"/>
        </w:rPr>
        <w:t>（单位）</w:t>
      </w:r>
      <w:r>
        <w:rPr>
          <w:rFonts w:hint="eastAsia" w:ascii="黑体" w:hAnsi="黑体" w:eastAsia="黑体"/>
          <w:sz w:val="32"/>
          <w:szCs w:val="32"/>
        </w:rPr>
        <w:t>概况</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中央和省委有关组织工作的方针政策、法律法规，研究拟订并组织实施全市组织工作政策规定、规章制度和发展战略，研究推进组织工作改革。研究指导全市各级党组织建设。考察、调配和管理市管干部工作。指导领导班子的思想政治作风建设。组织实施干部教育培训工作，研究制定干部队伍建设规划等。指导全市公务员队伍建设，制定公务员管理有关规定，统一管理公务员录用调配等事务。统筹全市人才发展体制机制改革，指导全市各类人才队伍建设发展和管理工作。统一管理老干部工作，监督和指导做好全市离退休干部服务工作。承担市关心下一代工作委员会办公室日常工作。</w:t>
      </w:r>
    </w:p>
    <w:p>
      <w:pPr>
        <w:pStyle w:val="11"/>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仿宋_GB2312"/>
          <w:sz w:val="32"/>
          <w:szCs w:val="32"/>
          <w:lang w:eastAsia="zh-CN"/>
        </w:rPr>
        <w:t>二、</w:t>
      </w:r>
      <w:r>
        <w:rPr>
          <w:rFonts w:hint="eastAsia" w:ascii="Times New Roman" w:hAnsi="Times New Roman" w:eastAsia="黑体" w:cs="仿宋_GB2312"/>
          <w:sz w:val="32"/>
          <w:szCs w:val="32"/>
        </w:rPr>
        <w:t>预算单位构成</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w:t>
      </w:r>
      <w:r>
        <w:rPr>
          <w:rFonts w:hint="eastAsia" w:ascii="仿宋_GB2312" w:hAnsi="仿宋_GB2312" w:eastAsia="仿宋_GB2312" w:cs="仿宋_GB2312"/>
          <w:sz w:val="32"/>
          <w:szCs w:val="32"/>
        </w:rPr>
        <w:t>设置</w:t>
      </w:r>
      <w:r>
        <w:rPr>
          <w:rFonts w:hint="eastAsia" w:ascii="Times New Roman" w:hAnsi="Times New Roman" w:eastAsia="仿宋_GB2312" w:cs="Times New Roman"/>
          <w:kern w:val="2"/>
          <w:sz w:val="32"/>
          <w:szCs w:val="32"/>
          <w:lang w:val="en-US" w:eastAsia="zh-CN" w:bidi="ar-SA"/>
        </w:rPr>
        <w:t>20</w:t>
      </w:r>
      <w:r>
        <w:rPr>
          <w:rFonts w:hint="eastAsia" w:ascii="仿宋_GB2312" w:hAnsi="仿宋_GB2312" w:eastAsia="仿宋_GB2312" w:cs="仿宋_GB2312"/>
          <w:sz w:val="32"/>
          <w:szCs w:val="32"/>
        </w:rPr>
        <w:t>个科级内设机构</w:t>
      </w:r>
      <w:r>
        <w:rPr>
          <w:rFonts w:hint="eastAsia" w:ascii="仿宋_GB2312" w:hAnsi="仿宋_GB2312" w:eastAsia="仿宋_GB2312" w:cs="仿宋_GB2312"/>
          <w:sz w:val="32"/>
          <w:szCs w:val="32"/>
          <w:lang w:eastAsia="zh-CN"/>
        </w:rPr>
        <w:t>（参公管理事业单位）</w:t>
      </w:r>
      <w:r>
        <w:rPr>
          <w:rFonts w:hint="eastAsia" w:ascii="仿宋_GB2312" w:hAnsi="仿宋_GB2312" w:eastAsia="仿宋_GB2312" w:cs="仿宋_GB2312"/>
          <w:sz w:val="32"/>
          <w:szCs w:val="32"/>
        </w:rPr>
        <w:t>：办公室（信访办公室）、研究室（政策法规室）、组织一科、组织二科、组织三科、干部一科、干部二科、干部三科、干部监督科（举报中心）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干部队伍建设规划办公室、干部教育科、公务员一科、公务员二科、人才一科、人才二科、人才三科、老干部工作一科、老干部工作二科（市关心下一代工作委员会办公室）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党员教育中心、干部信息</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办公室。</w:t>
      </w:r>
    </w:p>
    <w:p>
      <w:pPr>
        <w:pStyle w:val="2"/>
        <w:rPr>
          <w:rFonts w:hint="eastAsia"/>
        </w:rPr>
      </w:pP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Times New Roman" w:hAnsi="Times New Roman" w:eastAsia="黑体"/>
          <w:sz w:val="32"/>
          <w:szCs w:val="32"/>
        </w:rPr>
        <w:t>中共三亚市委组织部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黑体"/>
          <w:sz w:val="32"/>
          <w:szCs w:val="32"/>
        </w:rPr>
        <w:t>年单位预算表</w:t>
      </w:r>
    </w:p>
    <w:p>
      <w:pPr>
        <w:keepNext w:val="0"/>
        <w:keepLines w:val="0"/>
        <w:pageBreakBefore w:val="0"/>
        <w:widowControl w:val="0"/>
        <w:kinsoku/>
        <w:wordWrap/>
        <w:overflowPunct/>
        <w:topLinePunct w:val="0"/>
        <w:autoSpaceDE/>
        <w:autoSpaceDN/>
        <w:bidi w:val="0"/>
        <w:adjustRightInd/>
        <w:spacing w:line="578" w:lineRule="exact"/>
        <w:ind w:left="0" w:leftChars="0" w:firstLine="643" w:firstLineChars="200"/>
        <w:jc w:val="center"/>
        <w:textAlignment w:val="auto"/>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Times New Roman" w:hAnsi="Times New Roman" w:eastAsia="黑体"/>
          <w:sz w:val="32"/>
          <w:szCs w:val="32"/>
        </w:rPr>
        <w:t>中共三亚市委组织部</w:t>
      </w:r>
      <w:r>
        <w:rPr>
          <w:rFonts w:hint="eastAsia" w:ascii="Times New Roman" w:hAnsi="Times New Roman" w:eastAsia="黑体"/>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黑体"/>
          <w:sz w:val="32"/>
          <w:szCs w:val="32"/>
        </w:rPr>
        <w:t>年</w:t>
      </w:r>
      <w:r>
        <w:rPr>
          <w:rFonts w:hint="eastAsia" w:ascii="黑体" w:hAnsi="黑体" w:eastAsia="黑体"/>
          <w:sz w:val="32"/>
          <w:szCs w:val="32"/>
        </w:rPr>
        <w:t>预算情况说明</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一、</w:t>
      </w:r>
      <w:r>
        <w:rPr>
          <w:rFonts w:hint="eastAsia" w:ascii="Times New Roman" w:hAnsi="Times New Roman" w:eastAsia="黑体"/>
          <w:sz w:val="32"/>
          <w:szCs w:val="32"/>
        </w:rPr>
        <w:t>关于中共三亚市委组织部</w:t>
      </w:r>
      <w:r>
        <w:rPr>
          <w:rFonts w:hint="eastAsia" w:ascii="Times New Roman" w:hAnsi="Times New Roman" w:eastAsia="黑体"/>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黑体"/>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中共三亚市委组织部</w:t>
      </w:r>
      <w:r>
        <w:rPr>
          <w:rFonts w:hint="eastAsia" w:ascii="Times New Roman" w:hAnsi="Times New Roman" w:eastAsia="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sz w:val="32"/>
          <w:szCs w:val="32"/>
        </w:rPr>
        <w:t>年财政拨款收支总预算</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万元。其中，收入总计</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万元，包括一般公共预算本年收入</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万元、上年结转</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万元，政府性基金预算本年收入</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万元、上年结转</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万元；支出总计</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万元，包括一般公共服务支出</w:t>
      </w:r>
      <w:r>
        <w:rPr>
          <w:rFonts w:hint="eastAsia" w:ascii="Times New Roman" w:hAnsi="Times New Roman" w:eastAsia="仿宋_GB2312" w:cs="仿宋_GB2312"/>
          <w:sz w:val="32"/>
          <w:szCs w:val="32"/>
        </w:rPr>
        <w:t>3464.62</w:t>
      </w:r>
      <w:r>
        <w:rPr>
          <w:rFonts w:hint="eastAsia" w:ascii="Times New Roman" w:hAnsi="Times New Roman" w:eastAsia="仿宋_GB2312"/>
          <w:sz w:val="32"/>
          <w:szCs w:val="32"/>
        </w:rPr>
        <w:t>万元、</w:t>
      </w:r>
      <w:r>
        <w:rPr>
          <w:rFonts w:hint="eastAsia" w:ascii="Times New Roman" w:hAnsi="Times New Roman" w:eastAsia="仿宋_GB2312" w:cs="仿宋_GB2312"/>
          <w:sz w:val="32"/>
          <w:szCs w:val="32"/>
        </w:rPr>
        <w:t>社会保障和就业支出255.65</w:t>
      </w:r>
      <w:r>
        <w:rPr>
          <w:rFonts w:hint="eastAsia" w:ascii="Times New Roman" w:hAnsi="Times New Roman" w:eastAsia="仿宋_GB2312"/>
          <w:sz w:val="32"/>
          <w:szCs w:val="32"/>
        </w:rPr>
        <w:t>万元、卫生健康支出310.80万元、农林水支出128.48万元、住房保障支出143.6</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万元，结转下年</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关于中共三亚市委组织部</w:t>
      </w:r>
      <w:r>
        <w:rPr>
          <w:rFonts w:hint="eastAsia" w:ascii="黑体" w:hAnsi="黑体" w:eastAsia="黑体"/>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黑体" w:hAnsi="黑体" w:eastAsia="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）一般公共预算当年规模变化情况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color w:val="auto"/>
          <w:sz w:val="32"/>
          <w:szCs w:val="32"/>
          <w:highlight w:val="none"/>
        </w:rPr>
      </w:pPr>
      <w:r>
        <w:rPr>
          <w:rFonts w:hint="eastAsia" w:ascii="仿宋_GB2312" w:hAnsi="黑体" w:eastAsia="仿宋_GB2312"/>
          <w:sz w:val="32"/>
          <w:szCs w:val="32"/>
        </w:rPr>
        <w:t>中共三亚市委组织部</w:t>
      </w:r>
      <w:r>
        <w:rPr>
          <w:rFonts w:hint="eastAsia" w:ascii="仿宋_GB2312" w:hAnsi="黑体" w:eastAsia="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仿宋_GB2312" w:hAnsi="黑体" w:eastAsia="仿宋_GB2312"/>
          <w:sz w:val="32"/>
          <w:szCs w:val="32"/>
        </w:rPr>
        <w:t>年一般公共预算当年拨款</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Times New Roman" w:hAnsi="Times New Roman" w:eastAsia="仿宋_GB2312" w:cs="仿宋_GB2312"/>
          <w:sz w:val="32"/>
          <w:szCs w:val="32"/>
          <w:highlight w:val="none"/>
          <w:lang w:val="en-US" w:eastAsia="zh-CN"/>
        </w:rPr>
        <w:t>1740.15</w:t>
      </w:r>
      <w:r>
        <w:rPr>
          <w:rFonts w:hint="eastAsia" w:ascii="仿宋_GB2312" w:hAnsi="黑体" w:eastAsia="仿宋_GB2312"/>
          <w:sz w:val="32"/>
          <w:szCs w:val="32"/>
        </w:rPr>
        <w:t>万元，</w:t>
      </w:r>
      <w:r>
        <w:rPr>
          <w:rFonts w:hint="eastAsia" w:ascii="仿宋_GB2312" w:hAnsi="黑体" w:eastAsia="仿宋_GB2312"/>
          <w:color w:val="auto"/>
          <w:sz w:val="32"/>
          <w:szCs w:val="32"/>
        </w:rPr>
        <w:t>主要原因是</w:t>
      </w:r>
      <w:r>
        <w:rPr>
          <w:rFonts w:hint="eastAsia" w:ascii="仿宋_GB2312" w:hAnsi="仿宋_GB2312" w:eastAsia="仿宋_GB2312" w:cs="仿宋_GB2312"/>
          <w:color w:val="auto"/>
          <w:sz w:val="32"/>
          <w:szCs w:val="32"/>
          <w:highlight w:val="none"/>
          <w:lang w:val="en-US" w:eastAsia="zh-CN"/>
        </w:rPr>
        <w:t>减少一般公共服务支出、社会保险和就业支出、卫生健康支出、住房保障支出</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一般公共服务（类）支出3464.6</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万元，占80.51%；社会保障和就业（类）支出255.65万元，占5.94%；卫生健康（类）支出310.8万元，占7.22%；农业水（类）支出128.48万元占2.99%，住房保障（类）支出143.64万元，占3.34%。</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仿宋_GB2312" w:hAnsi="黑体" w:eastAsia="仿宋_GB2312"/>
          <w:sz w:val="32"/>
          <w:szCs w:val="32"/>
        </w:rPr>
        <w:t>（三）</w:t>
      </w:r>
      <w:r>
        <w:rPr>
          <w:rFonts w:hint="eastAsia" w:ascii="Times New Roman" w:hAnsi="Times New Roman" w:eastAsia="仿宋_GB2312" w:cs="仿宋_GB2312"/>
          <w:sz w:val="32"/>
          <w:szCs w:val="32"/>
        </w:rPr>
        <w:t>一般公共预算当年拨款具体使用情况</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1.一般公共服务（类）组织事务（款）行政运行（项）202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年预算数为1434.74万元，比上年预算数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407.05</w:t>
      </w:r>
      <w:r>
        <w:rPr>
          <w:rFonts w:hint="eastAsia" w:ascii="Times New Roman" w:hAnsi="Times New Roman" w:eastAsia="仿宋_GB2312" w:cs="仿宋_GB2312"/>
          <w:sz w:val="32"/>
          <w:szCs w:val="32"/>
        </w:rPr>
        <w:t>万元，</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课题调研、培训等业务活动量减少，</w:t>
      </w:r>
      <w:r>
        <w:rPr>
          <w:rFonts w:hint="eastAsia" w:ascii="Times New Roman" w:hAnsi="Times New Roman" w:eastAsia="仿宋_GB2312" w:cs="仿宋_GB2312"/>
          <w:sz w:val="32"/>
          <w:szCs w:val="32"/>
          <w:highlight w:val="none"/>
          <w:lang w:eastAsia="zh-CN"/>
        </w:rPr>
        <w:t>导致预算相应减少</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2.一般公共服务（类）组织事务（款）一般行政管理事务（项）202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年预算数为1482.38万元，比上年预算数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212.92</w:t>
      </w:r>
      <w:r>
        <w:rPr>
          <w:rFonts w:hint="eastAsia" w:ascii="Times New Roman" w:hAnsi="Times New Roman" w:eastAsia="仿宋_GB2312" w:cs="仿宋_GB2312"/>
          <w:sz w:val="32"/>
          <w:szCs w:val="32"/>
        </w:rPr>
        <w:t>万元，</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部分业务</w:t>
      </w:r>
      <w:r>
        <w:rPr>
          <w:rFonts w:hint="eastAsia" w:ascii="仿宋_GB2312" w:hAnsi="黑体" w:eastAsia="仿宋_GB2312"/>
          <w:sz w:val="32"/>
          <w:szCs w:val="32"/>
        </w:rPr>
        <w:t>维护</w:t>
      </w:r>
      <w:r>
        <w:rPr>
          <w:rFonts w:hint="eastAsia" w:ascii="仿宋_GB2312" w:hAnsi="黑体" w:eastAsia="仿宋_GB2312"/>
          <w:sz w:val="32"/>
          <w:szCs w:val="32"/>
          <w:lang w:eastAsia="zh-CN"/>
        </w:rPr>
        <w:t>项目取消、培训班</w:t>
      </w:r>
      <w:r>
        <w:rPr>
          <w:rFonts w:hint="eastAsia" w:ascii="Times New Roman" w:hAnsi="Times New Roman" w:eastAsia="仿宋_GB2312" w:cs="仿宋_GB2312"/>
          <w:sz w:val="32"/>
          <w:szCs w:val="32"/>
          <w:highlight w:val="none"/>
          <w:lang w:eastAsia="zh-CN"/>
        </w:rPr>
        <w:t>缩减规模等，导致预算相应减少</w:t>
      </w:r>
      <w:r>
        <w:rPr>
          <w:rFonts w:hint="eastAsia" w:ascii="Times New Roman" w:hAnsi="Times New Roman" w:eastAsia="仿宋_GB2312" w:cs="仿宋_GB2312"/>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3.一般公共服务（类）组织事务（款）公务员事务（项）202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年预算数为83万元，</w:t>
      </w:r>
      <w:r>
        <w:rPr>
          <w:rFonts w:hint="eastAsia" w:ascii="Times New Roman" w:hAnsi="Times New Roman" w:eastAsia="仿宋_GB2312" w:cs="仿宋_GB2312"/>
          <w:sz w:val="32"/>
          <w:szCs w:val="32"/>
          <w:lang w:eastAsia="zh-CN"/>
        </w:rPr>
        <w:t>预算数较上年持平。</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4.一般公共服务（类）组织事务（款）其他组织事务支出（项）202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年预算数为464.50万元，比上年预算数减少</w:t>
      </w:r>
      <w:r>
        <w:rPr>
          <w:rFonts w:hint="eastAsia" w:ascii="Times New Roman" w:hAnsi="Times New Roman" w:eastAsia="仿宋_GB2312" w:cs="仿宋_GB2312"/>
          <w:sz w:val="32"/>
          <w:szCs w:val="32"/>
          <w:lang w:val="en-US" w:eastAsia="zh-CN"/>
        </w:rPr>
        <w:t>550.70</w:t>
      </w:r>
      <w:r>
        <w:rPr>
          <w:rFonts w:hint="eastAsia" w:ascii="Times New Roman" w:hAnsi="Times New Roman" w:eastAsia="仿宋_GB2312" w:cs="仿宋_GB2312"/>
          <w:sz w:val="32"/>
          <w:szCs w:val="32"/>
        </w:rPr>
        <w:t>万元，</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预算项目调整，将“老干部活动及服务”预算项目中物业服务费、办公楼电梯维保、年检费、日常水、电等经费调整至“办公场所运维经费”预算项目中</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5.社会保障和就业支出（类）行政事业单位养老支出（款）行政单位离退休（项）202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年预算数为17.45万元，比上年预算数减少</w:t>
      </w:r>
      <w:r>
        <w:rPr>
          <w:rFonts w:hint="eastAsia" w:ascii="Times New Roman" w:hAnsi="Times New Roman" w:eastAsia="仿宋_GB2312" w:cs="仿宋_GB2312"/>
          <w:sz w:val="32"/>
          <w:szCs w:val="32"/>
          <w:lang w:val="en-US" w:eastAsia="zh-CN"/>
        </w:rPr>
        <w:t>20.68</w:t>
      </w:r>
      <w:r>
        <w:rPr>
          <w:rFonts w:hint="eastAsia" w:ascii="Times New Roman" w:hAnsi="Times New Roman" w:eastAsia="仿宋_GB2312" w:cs="仿宋_GB2312"/>
          <w:sz w:val="32"/>
          <w:szCs w:val="32"/>
        </w:rPr>
        <w:t>万元，主要是离休干部病故费用减少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离退休</w:t>
      </w:r>
      <w:r>
        <w:rPr>
          <w:rFonts w:hint="eastAsia" w:ascii="Times New Roman" w:hAnsi="Times New Roman" w:eastAsia="仿宋_GB2312" w:cs="仿宋_GB2312"/>
          <w:sz w:val="32"/>
          <w:szCs w:val="32"/>
          <w:lang w:eastAsia="zh-CN"/>
        </w:rPr>
        <w:t>费用调整等</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6.社会保障和就业支出（类）行政事业单位养老支出（款）机关事业单位基本养老保险缴费支出（项）202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年预算数为158.80万元，比上年预算数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37.74</w:t>
      </w:r>
      <w:r>
        <w:rPr>
          <w:rFonts w:hint="eastAsia" w:ascii="Times New Roman" w:hAnsi="Times New Roman" w:eastAsia="仿宋_GB2312" w:cs="仿宋_GB2312"/>
          <w:sz w:val="32"/>
          <w:szCs w:val="32"/>
        </w:rPr>
        <w:t>万元，</w:t>
      </w:r>
      <w:r>
        <w:rPr>
          <w:rFonts w:hint="eastAsia" w:ascii="Times New Roman" w:hAnsi="Times New Roman" w:eastAsia="仿宋_GB2312" w:cs="仿宋_GB2312"/>
          <w:color w:val="auto"/>
          <w:sz w:val="32"/>
          <w:szCs w:val="32"/>
        </w:rPr>
        <w:t>主要原因是</w:t>
      </w:r>
      <w:r>
        <w:rPr>
          <w:rFonts w:hint="eastAsia" w:ascii="Times New Roman" w:hAnsi="Times New Roman" w:eastAsia="仿宋_GB2312" w:cs="仿宋_GB2312"/>
          <w:color w:val="auto"/>
          <w:sz w:val="32"/>
          <w:szCs w:val="32"/>
          <w:lang w:eastAsia="zh-CN"/>
        </w:rPr>
        <w:t>人员调动、社保费用调整等</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7.社会保障和就业支出（类）行政事业单位养老支出（款）机关事业单位职业年金缴费支出（项）202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w:t>
      </w:r>
      <w:r>
        <w:rPr>
          <w:rFonts w:hint="eastAsia" w:ascii="Times New Roman" w:hAnsi="Times New Roman" w:eastAsia="仿宋_GB2312" w:cs="仿宋_GB2312"/>
          <w:sz w:val="32"/>
          <w:szCs w:val="32"/>
          <w:lang w:val="en-US" w:eastAsia="zh-CN"/>
        </w:rPr>
        <w:t>79.40</w:t>
      </w:r>
      <w:r>
        <w:rPr>
          <w:rFonts w:hint="eastAsia" w:ascii="Times New Roman" w:hAnsi="Times New Roman" w:eastAsia="仿宋_GB2312" w:cs="仿宋_GB2312"/>
          <w:sz w:val="32"/>
          <w:szCs w:val="32"/>
        </w:rPr>
        <w:t>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302.99</w:t>
      </w:r>
      <w:r>
        <w:rPr>
          <w:rFonts w:hint="eastAsia" w:ascii="Times New Roman" w:hAnsi="Times New Roman" w:eastAsia="仿宋_GB2312" w:cs="仿宋_GB2312"/>
          <w:sz w:val="32"/>
          <w:szCs w:val="32"/>
        </w:rPr>
        <w:t>万元，</w:t>
      </w:r>
      <w:r>
        <w:rPr>
          <w:rFonts w:hint="eastAsia" w:ascii="Times New Roman" w:hAnsi="Times New Roman" w:eastAsia="仿宋_GB2312" w:cs="仿宋_GB2312"/>
          <w:color w:val="auto"/>
          <w:sz w:val="32"/>
          <w:szCs w:val="32"/>
        </w:rPr>
        <w:t>主要原因是</w:t>
      </w:r>
      <w:r>
        <w:rPr>
          <w:rFonts w:hint="eastAsia" w:ascii="Times New Roman" w:hAnsi="Times New Roman" w:eastAsia="仿宋_GB2312" w:cs="仿宋_GB2312"/>
          <w:color w:val="auto"/>
          <w:sz w:val="32"/>
          <w:szCs w:val="32"/>
          <w:lang w:val="en-US" w:eastAsia="zh-CN"/>
        </w:rPr>
        <w:t>2024年预算中包括职业年金纪实，2025年减少此部分费用</w:t>
      </w:r>
      <w:r>
        <w:rPr>
          <w:rFonts w:hint="eastAsia" w:ascii="Times New Roman" w:hAnsi="Times New Roman" w:eastAsia="仿宋_GB2312" w:cs="仿宋_GB2312"/>
          <w:color w:val="auto"/>
          <w:sz w:val="32"/>
          <w:szCs w:val="32"/>
        </w:rPr>
        <w:t>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8.卫生健康支出（类）行政事业单位医疗（款）行政单位医疗（项）202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年预算数为71.10万元，</w:t>
      </w:r>
      <w:r>
        <w:rPr>
          <w:rFonts w:hint="eastAsia" w:ascii="Times New Roman" w:hAnsi="Times New Roman" w:eastAsia="仿宋_GB2312" w:cs="仿宋_GB2312"/>
          <w:color w:val="auto"/>
          <w:sz w:val="32"/>
          <w:szCs w:val="32"/>
        </w:rPr>
        <w:t>比上年预算数</w:t>
      </w:r>
      <w:r>
        <w:rPr>
          <w:rFonts w:hint="eastAsia" w:ascii="Times New Roman" w:hAnsi="Times New Roman" w:eastAsia="仿宋_GB2312" w:cs="仿宋_GB2312"/>
          <w:color w:val="auto"/>
          <w:sz w:val="32"/>
          <w:szCs w:val="32"/>
          <w:lang w:eastAsia="zh-CN"/>
        </w:rPr>
        <w:t>减少</w:t>
      </w:r>
      <w:r>
        <w:rPr>
          <w:rFonts w:hint="eastAsia" w:ascii="Times New Roman" w:hAnsi="Times New Roman" w:eastAsia="仿宋_GB2312" w:cs="仿宋_GB2312"/>
          <w:color w:val="auto"/>
          <w:sz w:val="32"/>
          <w:szCs w:val="32"/>
          <w:lang w:val="en-US" w:eastAsia="zh-CN"/>
        </w:rPr>
        <w:t>8.59</w:t>
      </w:r>
      <w:r>
        <w:rPr>
          <w:rFonts w:hint="eastAsia" w:ascii="Times New Roman" w:hAnsi="Times New Roman" w:eastAsia="仿宋_GB2312" w:cs="仿宋_GB2312"/>
          <w:color w:val="auto"/>
          <w:sz w:val="32"/>
          <w:szCs w:val="32"/>
        </w:rPr>
        <w:t>万元，主要原因是</w:t>
      </w:r>
      <w:r>
        <w:rPr>
          <w:rFonts w:hint="eastAsia" w:ascii="Times New Roman" w:hAnsi="Times New Roman" w:eastAsia="仿宋_GB2312" w:cs="仿宋_GB2312"/>
          <w:b w:val="0"/>
          <w:bCs w:val="0"/>
          <w:color w:val="auto"/>
          <w:sz w:val="32"/>
          <w:szCs w:val="32"/>
        </w:rPr>
        <w:t>人员调动、</w:t>
      </w:r>
      <w:r>
        <w:rPr>
          <w:rFonts w:hint="eastAsia" w:ascii="Times New Roman" w:hAnsi="Times New Roman" w:eastAsia="仿宋_GB2312" w:cs="仿宋_GB2312"/>
          <w:b w:val="0"/>
          <w:bCs w:val="0"/>
          <w:color w:val="auto"/>
          <w:sz w:val="32"/>
          <w:szCs w:val="32"/>
          <w:lang w:eastAsia="zh-CN"/>
        </w:rPr>
        <w:t>医疗保险费用</w:t>
      </w:r>
      <w:r>
        <w:rPr>
          <w:rFonts w:hint="eastAsia" w:ascii="Times New Roman" w:hAnsi="Times New Roman" w:eastAsia="仿宋_GB2312" w:cs="仿宋_GB2312"/>
          <w:b w:val="0"/>
          <w:bCs w:val="0"/>
          <w:color w:val="auto"/>
          <w:sz w:val="32"/>
          <w:szCs w:val="32"/>
        </w:rPr>
        <w:t>调整等。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9.卫生健康支出（类）行政事业单位医疗（款）公务员医疗补助（项）202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年预算数为239.7</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106.51</w:t>
      </w:r>
      <w:r>
        <w:rPr>
          <w:rFonts w:hint="eastAsia" w:ascii="Times New Roman" w:hAnsi="Times New Roman" w:eastAsia="仿宋_GB2312" w:cs="仿宋_GB2312"/>
          <w:sz w:val="32"/>
          <w:szCs w:val="32"/>
        </w:rPr>
        <w:t>万元，</w:t>
      </w:r>
      <w:r>
        <w:rPr>
          <w:rFonts w:hint="eastAsia" w:ascii="Times New Roman" w:hAnsi="Times New Roman" w:eastAsia="仿宋_GB2312" w:cs="仿宋_GB2312"/>
          <w:color w:val="auto"/>
          <w:sz w:val="32"/>
          <w:szCs w:val="32"/>
        </w:rPr>
        <w:t>主要原因是人员调动、公务员医疗补助</w:t>
      </w:r>
      <w:r>
        <w:rPr>
          <w:rFonts w:hint="eastAsia" w:ascii="Times New Roman" w:hAnsi="Times New Roman" w:eastAsia="仿宋_GB2312" w:cs="仿宋_GB2312"/>
          <w:color w:val="auto"/>
          <w:sz w:val="32"/>
          <w:szCs w:val="32"/>
          <w:lang w:eastAsia="zh-CN"/>
        </w:rPr>
        <w:t>费用</w:t>
      </w:r>
      <w:r>
        <w:rPr>
          <w:rFonts w:hint="eastAsia" w:ascii="Times New Roman" w:hAnsi="Times New Roman" w:eastAsia="仿宋_GB2312" w:cs="仿宋_GB2312"/>
          <w:color w:val="auto"/>
          <w:sz w:val="32"/>
          <w:szCs w:val="32"/>
        </w:rPr>
        <w:t>调整等。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.农林水支出（类）农村综合改革（款）其他农村综合改革支出（项）202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年预算数为128.5万元，</w:t>
      </w:r>
      <w:r>
        <w:rPr>
          <w:rFonts w:hint="eastAsia" w:ascii="Times New Roman" w:hAnsi="Times New Roman" w:eastAsia="仿宋_GB2312" w:cs="仿宋_GB2312"/>
          <w:sz w:val="32"/>
          <w:szCs w:val="32"/>
          <w:lang w:eastAsia="zh-CN"/>
        </w:rPr>
        <w:t>预算数较上年持平</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.住房保障支出（类）住房改革支出（款）住房公积金（项）2024年预算数为143.64万元，比上年预算数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rPr>
        <w:t>39.34万元，主要原因是</w:t>
      </w:r>
      <w:r>
        <w:rPr>
          <w:rFonts w:hint="eastAsia" w:ascii="Times New Roman" w:hAnsi="Times New Roman" w:eastAsia="仿宋_GB2312" w:cs="仿宋_GB2312"/>
          <w:color w:val="auto"/>
          <w:sz w:val="32"/>
          <w:szCs w:val="32"/>
        </w:rPr>
        <w:t>人员调动、住房公积金</w:t>
      </w:r>
      <w:r>
        <w:rPr>
          <w:rFonts w:hint="eastAsia" w:ascii="Times New Roman" w:hAnsi="Times New Roman" w:eastAsia="仿宋_GB2312" w:cs="仿宋_GB2312"/>
          <w:color w:val="auto"/>
          <w:sz w:val="32"/>
          <w:szCs w:val="32"/>
          <w:lang w:eastAsia="zh-CN"/>
        </w:rPr>
        <w:t>费用</w:t>
      </w:r>
      <w:r>
        <w:rPr>
          <w:rFonts w:hint="eastAsia" w:ascii="Times New Roman" w:hAnsi="Times New Roman" w:eastAsia="仿宋_GB2312" w:cs="仿宋_GB2312"/>
          <w:color w:val="auto"/>
          <w:sz w:val="32"/>
          <w:szCs w:val="32"/>
        </w:rPr>
        <w:t>调整等。</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三、关于中共三亚市委组织部</w:t>
      </w:r>
      <w:r>
        <w:rPr>
          <w:rFonts w:hint="eastAsia" w:ascii="Times New Roman" w:hAnsi="Times New Roman" w:eastAsia="黑体"/>
          <w:sz w:val="32"/>
          <w:szCs w:val="32"/>
          <w:lang w:eastAsia="zh-CN"/>
        </w:rPr>
        <w:t>（单位）</w:t>
      </w:r>
      <w:r>
        <w:rPr>
          <w:rFonts w:hint="eastAsia" w:ascii="Times New Roman" w:hAnsi="Times New Roman" w:eastAsia="黑体"/>
          <w:sz w:val="32"/>
          <w:szCs w:val="32"/>
        </w:rPr>
        <w:t>202</w:t>
      </w:r>
      <w:r>
        <w:rPr>
          <w:rFonts w:hint="eastAsia" w:ascii="Times New Roman" w:hAnsi="Times New Roman" w:eastAsia="黑体"/>
          <w:sz w:val="32"/>
          <w:szCs w:val="32"/>
          <w:lang w:val="en-US" w:eastAsia="zh-CN"/>
        </w:rPr>
        <w:t>5</w:t>
      </w:r>
      <w:r>
        <w:rPr>
          <w:rFonts w:hint="eastAsia" w:ascii="Times New Roman" w:hAnsi="Times New Roman"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中共三亚市委组织部</w:t>
      </w:r>
      <w:r>
        <w:rPr>
          <w:rFonts w:hint="eastAsia" w:ascii="Times New Roman" w:hAnsi="Times New Roman" w:eastAsia="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sz w:val="32"/>
          <w:szCs w:val="32"/>
        </w:rPr>
        <w:t>年一般公共预算基本支出为</w:t>
      </w:r>
      <w:r>
        <w:rPr>
          <w:rFonts w:hint="eastAsia" w:ascii="Times New Roman" w:hAnsi="Times New Roman" w:eastAsia="仿宋_GB2312" w:cs="仿宋_GB2312"/>
          <w:sz w:val="32"/>
          <w:szCs w:val="32"/>
        </w:rPr>
        <w:t>2144.83</w:t>
      </w:r>
      <w:r>
        <w:rPr>
          <w:rFonts w:hint="eastAsia" w:ascii="Times New Roman" w:hAnsi="Times New Roman" w:eastAsia="仿宋_GB2312"/>
          <w:sz w:val="32"/>
          <w:szCs w:val="32"/>
        </w:rPr>
        <w:t>万元，其中：</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cs="仿宋_GB2312"/>
          <w:sz w:val="32"/>
          <w:szCs w:val="32"/>
        </w:rPr>
        <w:t>1972.3</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sz w:val="32"/>
          <w:szCs w:val="32"/>
        </w:rPr>
        <w:t>万元，主要包括：基本工资、津贴补贴、奖金、绩效工资、机关事业单位基本养老保险缴费、职业年金缴费、职工基本医疗保险缴费、公务员医疗补助缴费、其他社会保障缴费、住房公积金、医</w:t>
      </w:r>
      <w:r>
        <w:rPr>
          <w:rFonts w:hint="eastAsia" w:ascii="Times New Roman" w:hAnsi="Times New Roman" w:eastAsia="仿宋_GB2312"/>
          <w:sz w:val="32"/>
          <w:szCs w:val="32"/>
          <w:lang w:eastAsia="zh-CN"/>
        </w:rPr>
        <w:t>疗</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其他工资福利支出</w:t>
      </w:r>
      <w:r>
        <w:rPr>
          <w:rFonts w:hint="eastAsia" w:ascii="Times New Roman" w:hAnsi="Times New Roman" w:eastAsia="仿宋_GB2312"/>
          <w:sz w:val="32"/>
          <w:szCs w:val="32"/>
          <w:lang w:eastAsia="zh-CN"/>
        </w:rPr>
        <w:t>、邮电费、其他交通费用、离休费、奖励金</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cs="仿宋_GB2312"/>
          <w:sz w:val="32"/>
          <w:szCs w:val="32"/>
        </w:rPr>
        <w:t>172.5</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sz w:val="32"/>
          <w:szCs w:val="32"/>
        </w:rPr>
        <w:t>万元，主要包括：办公费、印刷费、手续费、物业管理费、邮电费、差旅费、维修（护）费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会议费、培训费、工会经费、福利费、公务用车运行维护费、其他交通费用、其他商品和服务支出</w:t>
      </w:r>
      <w:r>
        <w:rPr>
          <w:rFonts w:hint="eastAsia" w:ascii="Times New Roman" w:hAnsi="Times New Roman" w:eastAsia="仿宋_GB2312"/>
          <w:sz w:val="32"/>
          <w:szCs w:val="32"/>
          <w:lang w:eastAsia="zh-CN"/>
        </w:rPr>
        <w:t>、生活补助、其他对个人和家庭的补助</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hd w:val="clear" w:color="auto" w:fill="FFFFFF"/>
        </w:rPr>
      </w:pPr>
      <w:r>
        <w:rPr>
          <w:rFonts w:hint="eastAsia" w:ascii="黑体" w:hAnsi="黑体" w:eastAsia="黑体" w:cs="Times New Roman"/>
          <w:sz w:val="32"/>
          <w:shd w:val="clear" w:color="auto" w:fill="FFFFFF"/>
        </w:rPr>
        <w:t>四、</w:t>
      </w:r>
      <w:r>
        <w:rPr>
          <w:rFonts w:hint="eastAsia" w:ascii="Times New Roman" w:hAnsi="Times New Roman" w:eastAsia="黑体"/>
          <w:sz w:val="32"/>
          <w:szCs w:val="32"/>
        </w:rPr>
        <w:t>中共三亚市委组织部</w:t>
      </w:r>
      <w:r>
        <w:rPr>
          <w:rFonts w:hint="eastAsia" w:ascii="Times New Roman" w:hAnsi="Times New Roman" w:eastAsia="黑体"/>
          <w:sz w:val="32"/>
          <w:shd w:val="clear" w:color="auto" w:fill="FFFFFF"/>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年“三公”经费预算情况</w:t>
      </w:r>
      <w:r>
        <w:rPr>
          <w:rFonts w:hint="eastAsia" w:ascii="Times New Roman" w:hAnsi="Times New Roman" w:eastAsia="黑体"/>
          <w:sz w:val="32"/>
          <w:shd w:val="clear" w:color="auto" w:fill="FFFFFF"/>
        </w:rPr>
        <w:t>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年一般公共预算“三公”经费预算数为</w:t>
      </w:r>
      <w:r>
        <w:rPr>
          <w:rFonts w:hint="eastAsia" w:ascii="Times New Roman" w:hAnsi="Times New Roman" w:eastAsia="仿宋_GB2312" w:cs="仿宋_GB2312"/>
          <w:sz w:val="32"/>
          <w:szCs w:val="32"/>
          <w:lang w:val="en-US" w:eastAsia="zh-CN"/>
        </w:rPr>
        <w:t>19.91</w:t>
      </w:r>
      <w:r>
        <w:rPr>
          <w:rFonts w:hint="eastAsia" w:ascii="Times New Roman" w:hAnsi="Times New Roman"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因公出国（境）经费0万元，与上年预算持平。202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年无出国计划。</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公务用车购置及运行费</w:t>
      </w:r>
      <w:r>
        <w:rPr>
          <w:rFonts w:hint="eastAsia" w:ascii="Times New Roman" w:hAnsi="Times New Roman" w:eastAsia="仿宋_GB2312" w:cs="仿宋_GB2312"/>
          <w:sz w:val="32"/>
          <w:szCs w:val="32"/>
          <w:lang w:val="en-US" w:eastAsia="zh-CN"/>
        </w:rPr>
        <w:t>14.51</w:t>
      </w:r>
      <w:r>
        <w:rPr>
          <w:rFonts w:hint="eastAsia" w:ascii="Times New Roman" w:hAnsi="Times New Roman" w:eastAsia="仿宋_GB2312" w:cs="仿宋_GB2312"/>
          <w:sz w:val="32"/>
          <w:szCs w:val="32"/>
        </w:rPr>
        <w:t>万元（其中，公务用车购置费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万元，公务用车运行费</w:t>
      </w:r>
      <w:r>
        <w:rPr>
          <w:rFonts w:hint="eastAsia" w:ascii="Times New Roman" w:hAnsi="Times New Roman" w:eastAsia="仿宋_GB2312" w:cs="仿宋_GB2312"/>
          <w:sz w:val="32"/>
          <w:szCs w:val="32"/>
          <w:lang w:val="en-US" w:eastAsia="zh-CN"/>
        </w:rPr>
        <w:t>14.51</w:t>
      </w:r>
      <w:r>
        <w:rPr>
          <w:rFonts w:hint="eastAsia" w:ascii="Times New Roman" w:hAnsi="Times New Roman" w:eastAsia="仿宋_GB2312" w:cs="仿宋_GB2312"/>
          <w:sz w:val="32"/>
          <w:szCs w:val="32"/>
        </w:rPr>
        <w:t>万元），比上年预算</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rPr>
        <w:t>1.82万元。公务车保有量</w:t>
      </w:r>
      <w:r>
        <w:rPr>
          <w:rFonts w:hint="eastAsia" w:ascii="Times New Roman" w:hAnsi="Times New Roman" w:eastAsia="仿宋_GB2312"/>
          <w:sz w:val="32"/>
          <w:szCs w:val="32"/>
        </w:rPr>
        <w:t>8</w:t>
      </w:r>
      <w:r>
        <w:rPr>
          <w:rFonts w:hint="eastAsia" w:ascii="Times New Roman" w:hAnsi="Times New Roman" w:eastAsia="仿宋_GB2312" w:cs="仿宋_GB2312"/>
          <w:sz w:val="32"/>
          <w:szCs w:val="32"/>
        </w:rPr>
        <w:t>辆，计划购置</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公务接待费</w:t>
      </w:r>
      <w:r>
        <w:rPr>
          <w:rFonts w:hint="eastAsia" w:ascii="Times New Roman" w:hAnsi="Times New Roman" w:eastAsia="仿宋_GB2312"/>
          <w:sz w:val="32"/>
          <w:szCs w:val="32"/>
        </w:rPr>
        <w:t>5.40</w:t>
      </w:r>
      <w:r>
        <w:rPr>
          <w:rFonts w:hint="eastAsia" w:ascii="Times New Roman" w:hAnsi="Times New Roman" w:eastAsia="仿宋_GB2312" w:cs="仿宋_GB2312"/>
          <w:sz w:val="32"/>
          <w:szCs w:val="32"/>
        </w:rPr>
        <w:t>万元，与上年预算持平。计划接待40批约</w:t>
      </w:r>
      <w:r>
        <w:rPr>
          <w:rFonts w:hint="eastAsia" w:ascii="Times New Roman" w:hAnsi="Times New Roman" w:eastAsia="仿宋_GB2312"/>
          <w:sz w:val="32"/>
          <w:szCs w:val="32"/>
        </w:rPr>
        <w:t>300</w:t>
      </w:r>
      <w:r>
        <w:rPr>
          <w:rFonts w:hint="eastAsia" w:ascii="Times New Roman" w:hAnsi="Times New Roman" w:eastAsia="仿宋_GB2312" w:cs="仿宋_GB2312"/>
          <w:sz w:val="32"/>
          <w:szCs w:val="32"/>
        </w:rPr>
        <w:t>人。</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年政府性基金预算“三公”经费预算数为</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因公出国（境）经费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万元，与上年预算持平。202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年无出国计划。</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公务用车购置及运行费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万元（其中，公务用车购置费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万元，公务用车运行费0万元），与上年预算持平。</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公务接待费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万元，与上年预算持平。计划接待</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批约</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人。</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五、关于中共三亚市委组织部</w:t>
      </w:r>
      <w:r>
        <w:rPr>
          <w:rFonts w:hint="eastAsia" w:ascii="黑体" w:hAnsi="黑体" w:eastAsia="黑体" w:cs="Times New Roman"/>
          <w:sz w:val="32"/>
          <w:shd w:val="clear" w:color="auto" w:fill="FFFFFF"/>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黑体" w:hAnsi="黑体" w:eastAsia="黑体" w:cs="Times New Roman"/>
          <w:sz w:val="32"/>
          <w:shd w:val="clear" w:color="auto" w:fill="FFFFFF"/>
        </w:rPr>
        <w:t>年政府性基金预算当年拨款情况说明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cs="仿宋_GB2312"/>
          <w:sz w:val="32"/>
          <w:szCs w:val="32"/>
        </w:rPr>
        <w:t>年政府性基金预算当年拨款</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万元，与上年预算数持平。</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hd w:val="clear" w:color="auto" w:fill="FFFFFF"/>
        </w:rPr>
      </w:pPr>
      <w:r>
        <w:rPr>
          <w:rFonts w:hint="eastAsia" w:ascii="黑体" w:hAnsi="黑体" w:eastAsia="黑体" w:cs="Times New Roman"/>
          <w:sz w:val="32"/>
          <w:shd w:val="clear" w:color="auto" w:fill="FFFFFF"/>
        </w:rPr>
        <w:t>六、</w:t>
      </w:r>
      <w:r>
        <w:rPr>
          <w:rFonts w:hint="eastAsia" w:ascii="Times New Roman" w:hAnsi="Times New Roman" w:eastAsia="黑体"/>
          <w:sz w:val="32"/>
          <w:shd w:val="clear" w:color="auto" w:fill="FFFFFF"/>
        </w:rPr>
        <w:t>关于中共三亚市委组织部</w:t>
      </w:r>
      <w:r>
        <w:rPr>
          <w:rFonts w:hint="eastAsia" w:ascii="Times New Roman" w:hAnsi="Times New Roman" w:eastAsia="黑体"/>
          <w:sz w:val="32"/>
          <w:shd w:val="clear" w:color="auto" w:fill="FFFFFF"/>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w:t>
      </w:r>
      <w:r>
        <w:rPr>
          <w:rFonts w:hint="eastAsia" w:ascii="Times New Roman" w:hAnsi="Times New Roman" w:eastAsia="黑体"/>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按照综合预算原则，中共三亚市委组织部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所有收入和支出均纳入单位预算管理。收入包括：一般公共预算收入；支出包括：一般公共服务支出、社会保障和就业支出、卫生健康支出、农林水支出、住房保障支出。中共三亚市委组织部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年收支总预算</w:t>
      </w:r>
      <w:r>
        <w:rPr>
          <w:rFonts w:hint="eastAsia" w:ascii="Times New Roman" w:hAnsi="Times New Roman" w:eastAsia="仿宋_GB2312"/>
          <w:sz w:val="32"/>
          <w:szCs w:val="32"/>
        </w:rPr>
        <w:t>4303.19</w:t>
      </w:r>
      <w:r>
        <w:rPr>
          <w:rFonts w:hint="eastAsia" w:ascii="Times New Roman" w:hAnsi="Times New Roman"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hd w:val="clear" w:color="auto" w:fill="FFFFFF"/>
        </w:rPr>
      </w:pPr>
      <w:r>
        <w:rPr>
          <w:rFonts w:hint="eastAsia" w:ascii="黑体" w:hAnsi="黑体" w:eastAsia="黑体" w:cs="Times New Roman"/>
          <w:sz w:val="32"/>
          <w:shd w:val="clear" w:color="auto" w:fill="FFFFFF"/>
        </w:rPr>
        <w:t>七、</w:t>
      </w:r>
      <w:r>
        <w:rPr>
          <w:rFonts w:hint="eastAsia" w:ascii="Times New Roman" w:hAnsi="Times New Roman" w:eastAsia="黑体"/>
          <w:sz w:val="32"/>
          <w:shd w:val="clear" w:color="auto" w:fill="FFFFFF"/>
        </w:rPr>
        <w:t>关于中共三亚市委组织部</w:t>
      </w:r>
      <w:r>
        <w:rPr>
          <w:rFonts w:hint="eastAsia" w:ascii="Times New Roman" w:hAnsi="Times New Roman" w:eastAsia="黑体"/>
          <w:sz w:val="32"/>
          <w:shd w:val="clear" w:color="auto" w:fill="FFFFFF"/>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w:t>
      </w:r>
      <w:r>
        <w:rPr>
          <w:rFonts w:hint="eastAsia" w:ascii="Times New Roman" w:hAnsi="Times New Roman" w:eastAsia="黑体"/>
          <w:sz w:val="32"/>
          <w:shd w:val="clear" w:color="auto" w:fill="FFFFFF"/>
        </w:rPr>
        <w:t>收入预算情况说明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color w:val="auto"/>
          <w:sz w:val="32"/>
          <w:szCs w:val="32"/>
          <w:highlight w:val="none"/>
        </w:rPr>
      </w:pPr>
      <w:r>
        <w:rPr>
          <w:rFonts w:hint="eastAsia" w:ascii="Times New Roman" w:hAnsi="Times New Roman" w:eastAsia="仿宋_GB2312" w:cs="仿宋_GB2312"/>
          <w:sz w:val="32"/>
          <w:szCs w:val="32"/>
        </w:rPr>
        <w:t>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sz w:val="32"/>
          <w:szCs w:val="32"/>
        </w:rPr>
        <w:t>年收入预算</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万元，其中：上年结转</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万元，占0%；一般公共预算拨款收入4303.19万元，</w:t>
      </w:r>
      <w:r>
        <w:rPr>
          <w:rFonts w:hint="eastAsia" w:ascii="Times New Roman" w:hAnsi="Times New Roman" w:eastAsia="仿宋_GB2312"/>
          <w:sz w:val="32"/>
          <w:szCs w:val="32"/>
          <w:lang w:eastAsia="zh-CN"/>
        </w:rPr>
        <w:t>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%；政府性基金收入0万元，占</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%；专项收入0万元，占0%。比上年预算数</w:t>
      </w:r>
      <w:r>
        <w:rPr>
          <w:rFonts w:hint="eastAsia" w:ascii="Times New Roman" w:hAnsi="Times New Roman" w:eastAsia="仿宋_GB2312" w:cs="仿宋_GB2312"/>
          <w:sz w:val="32"/>
          <w:szCs w:val="32"/>
        </w:rPr>
        <w:t>减少</w:t>
      </w:r>
      <w:r>
        <w:rPr>
          <w:rFonts w:hint="eastAsia" w:ascii="Times New Roman" w:hAnsi="Times New Roman" w:eastAsia="仿宋_GB2312"/>
          <w:sz w:val="32"/>
          <w:szCs w:val="32"/>
          <w:lang w:val="en-US" w:eastAsia="zh-CN"/>
        </w:rPr>
        <w:t>1740.15</w:t>
      </w:r>
      <w:r>
        <w:rPr>
          <w:rFonts w:hint="eastAsia" w:ascii="Times New Roman" w:hAnsi="Times New Roman" w:eastAsia="仿宋_GB2312"/>
          <w:sz w:val="32"/>
          <w:szCs w:val="32"/>
        </w:rPr>
        <w:t>万元，</w:t>
      </w:r>
      <w:r>
        <w:rPr>
          <w:rFonts w:hint="eastAsia" w:ascii="仿宋_GB2312" w:hAnsi="黑体" w:eastAsia="仿宋_GB2312"/>
          <w:color w:val="auto"/>
          <w:sz w:val="32"/>
          <w:szCs w:val="32"/>
        </w:rPr>
        <w:t>主要原因是</w:t>
      </w:r>
      <w:r>
        <w:rPr>
          <w:rFonts w:hint="eastAsia" w:ascii="仿宋_GB2312" w:hAnsi="仿宋_GB2312" w:eastAsia="仿宋_GB2312" w:cs="仿宋_GB2312"/>
          <w:color w:val="auto"/>
          <w:sz w:val="32"/>
          <w:szCs w:val="32"/>
          <w:highlight w:val="none"/>
          <w:lang w:val="en-US" w:eastAsia="zh-CN"/>
        </w:rPr>
        <w:t>减少一般公共服务支出、社会保险和就业支出、卫生健康支出、住房保障支出</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Times New Roman" w:hAnsi="Times New Roman" w:eastAsia="黑体"/>
          <w:sz w:val="32"/>
          <w:shd w:val="clear" w:color="auto" w:fill="FFFFFF"/>
        </w:rPr>
        <w:t>关于</w:t>
      </w:r>
      <w:r>
        <w:rPr>
          <w:rFonts w:hint="eastAsia" w:ascii="Times New Roman" w:hAnsi="Times New Roman" w:eastAsia="黑体"/>
          <w:sz w:val="32"/>
          <w:szCs w:val="32"/>
        </w:rPr>
        <w:t>中共三亚市委组织部</w:t>
      </w:r>
      <w:r>
        <w:rPr>
          <w:rFonts w:hint="eastAsia" w:ascii="Times New Roman" w:hAnsi="Times New Roman" w:eastAsia="黑体"/>
          <w:sz w:val="32"/>
          <w:shd w:val="clear" w:color="auto" w:fill="FFFFFF"/>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w:t>
      </w:r>
      <w:r>
        <w:rPr>
          <w:rFonts w:hint="eastAsia" w:ascii="Times New Roman" w:hAnsi="Times New Roman" w:eastAsia="黑体"/>
          <w:sz w:val="32"/>
          <w:shd w:val="clear" w:color="auto" w:fill="FFFFFF"/>
        </w:rPr>
        <w:t>支出预算情况说明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olor w:val="FF0000"/>
          <w:sz w:val="32"/>
          <w:szCs w:val="32"/>
          <w:lang w:eastAsia="zh-CN"/>
        </w:rPr>
      </w:pPr>
      <w:r>
        <w:rPr>
          <w:rFonts w:hint="eastAsia" w:ascii="Times New Roman" w:hAnsi="Times New Roman" w:eastAsia="仿宋_GB2312" w:cs="仿宋_GB2312"/>
          <w:sz w:val="32"/>
          <w:szCs w:val="32"/>
        </w:rPr>
        <w:t>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年支出预算4303.19万元，其中：基本支出2144.83万元，</w:t>
      </w:r>
      <w:r>
        <w:rPr>
          <w:rFonts w:hint="eastAsia" w:ascii="Times New Roman" w:hAnsi="Times New Roman" w:eastAsia="仿宋_GB2312" w:cs="仿宋_GB2312"/>
          <w:sz w:val="32"/>
          <w:szCs w:val="32"/>
          <w:lang w:eastAsia="zh-CN"/>
        </w:rPr>
        <w:t>占</w:t>
      </w:r>
      <w:r>
        <w:rPr>
          <w:rFonts w:hint="eastAsia" w:ascii="Times New Roman" w:hAnsi="Times New Roman" w:eastAsia="仿宋_GB2312" w:cs="仿宋_GB2312"/>
          <w:sz w:val="32"/>
          <w:szCs w:val="32"/>
        </w:rPr>
        <w:t>49.84%；项目支出2158.36万元，占50.16%。比上年预算数较少1740.15万元，</w:t>
      </w:r>
      <w:r>
        <w:rPr>
          <w:rFonts w:hint="eastAsia" w:ascii="仿宋_GB2312" w:hAnsi="黑体" w:eastAsia="仿宋_GB2312"/>
          <w:color w:val="auto"/>
          <w:sz w:val="32"/>
          <w:szCs w:val="32"/>
        </w:rPr>
        <w:t>主要原因是</w:t>
      </w:r>
      <w:r>
        <w:rPr>
          <w:rFonts w:hint="eastAsia" w:ascii="仿宋_GB2312" w:hAnsi="仿宋_GB2312" w:eastAsia="仿宋_GB2312" w:cs="仿宋_GB2312"/>
          <w:color w:val="auto"/>
          <w:sz w:val="32"/>
          <w:szCs w:val="32"/>
          <w:highlight w:val="none"/>
          <w:lang w:val="en-US" w:eastAsia="zh-CN"/>
        </w:rPr>
        <w:t>减少一般公共服务支出、社会保险和就业支出、卫生健康支出、住房保障支出</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（一）机关运行经费</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本级的机关运行经费预算271.36万元。</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（二）政府采购情况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本级政府采购预算总额11.85万元，其中：政府采购货物预算11.85万元，政府采购工程预算0万元，政府采购服务预算0万元。</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（三）国有资产占有使用情况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截至2024年12月31日，中共三亚市委组织部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本级及下属各预算单位共有车辆8辆，其中，领导干部用车0辆，机要通信应急用车0辆、一般执法执勤用车0辆、特种专业技术用车0辆、其他用车8辆。单位价值100万元以上设备0台（套）。</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年中共三亚市委组织部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sz w:val="32"/>
          <w:szCs w:val="32"/>
          <w:lang w:val="en-US" w:eastAsia="zh-CN"/>
        </w:rPr>
        <w:t>23</w:t>
      </w:r>
      <w:r>
        <w:rPr>
          <w:rFonts w:hint="eastAsia" w:ascii="Times New Roman" w:hAnsi="Times New Roman" w:eastAsia="仿宋_GB2312" w:cs="仿宋_GB2312"/>
          <w:sz w:val="32"/>
          <w:szCs w:val="32"/>
        </w:rPr>
        <w:t>个项目实行绩效目标管理，涉及一般公共预算</w:t>
      </w:r>
      <w:r>
        <w:rPr>
          <w:rFonts w:hint="eastAsia" w:ascii="Times New Roman" w:hAnsi="Times New Roman" w:eastAsia="仿宋_GB2312"/>
          <w:sz w:val="32"/>
          <w:szCs w:val="32"/>
        </w:rPr>
        <w:t>4303.19</w:t>
      </w:r>
      <w:r>
        <w:rPr>
          <w:rFonts w:hint="eastAsia" w:ascii="Times New Roman" w:hAnsi="Times New Roman" w:eastAsia="仿宋_GB2312" w:cs="仿宋_GB2312"/>
          <w:sz w:val="32"/>
          <w:szCs w:val="32"/>
        </w:rPr>
        <w:t>万元、政府性基金</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hint="default" w:eastAsia="仿宋_GB2312"/>
          <w:lang w:val="en-US" w:eastAsia="zh-CN"/>
        </w:rPr>
      </w:pPr>
    </w:p>
    <w:p>
      <w:pPr>
        <w:keepNext w:val="0"/>
        <w:keepLines w:val="0"/>
        <w:pageBreakBefore w:val="0"/>
        <w:widowControl w:val="0"/>
        <w:kinsoku/>
        <w:wordWrap/>
        <w:overflowPunct/>
        <w:topLinePunct w:val="0"/>
        <w:autoSpaceDE/>
        <w:autoSpaceDN/>
        <w:bidi w:val="0"/>
        <w:adjustRightInd/>
        <w:spacing w:line="578" w:lineRule="exact"/>
        <w:ind w:left="0" w:leftChars="0" w:firstLine="643" w:firstLineChars="200"/>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pacing w:line="578" w:lineRule="exact"/>
        <w:textAlignment w:val="auto"/>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2238"/>
    <w:rsid w:val="06D166DF"/>
    <w:rsid w:val="0A177B36"/>
    <w:rsid w:val="0E031D0C"/>
    <w:rsid w:val="0E931C24"/>
    <w:rsid w:val="12EE7B04"/>
    <w:rsid w:val="135E592D"/>
    <w:rsid w:val="153C6BA1"/>
    <w:rsid w:val="161F3C80"/>
    <w:rsid w:val="173F2013"/>
    <w:rsid w:val="182D6413"/>
    <w:rsid w:val="19D5DA33"/>
    <w:rsid w:val="1D5F41D5"/>
    <w:rsid w:val="1FBF8E30"/>
    <w:rsid w:val="204158EC"/>
    <w:rsid w:val="21BE2CD9"/>
    <w:rsid w:val="22436337"/>
    <w:rsid w:val="252640D3"/>
    <w:rsid w:val="25424832"/>
    <w:rsid w:val="28E55B4B"/>
    <w:rsid w:val="29356E10"/>
    <w:rsid w:val="2A135FB0"/>
    <w:rsid w:val="2AB3392E"/>
    <w:rsid w:val="2BDF0DC0"/>
    <w:rsid w:val="2BE4501C"/>
    <w:rsid w:val="2E6D4C73"/>
    <w:rsid w:val="2FF7110D"/>
    <w:rsid w:val="2FFFCED3"/>
    <w:rsid w:val="33180CC4"/>
    <w:rsid w:val="37321359"/>
    <w:rsid w:val="379E23A5"/>
    <w:rsid w:val="3C842C82"/>
    <w:rsid w:val="3DD33125"/>
    <w:rsid w:val="3EDD6D6B"/>
    <w:rsid w:val="3F7FB4B5"/>
    <w:rsid w:val="3FAA751B"/>
    <w:rsid w:val="3FAD4D11"/>
    <w:rsid w:val="420109D2"/>
    <w:rsid w:val="4248194F"/>
    <w:rsid w:val="42DB2D71"/>
    <w:rsid w:val="445A05B8"/>
    <w:rsid w:val="446038BC"/>
    <w:rsid w:val="473C0062"/>
    <w:rsid w:val="4824065F"/>
    <w:rsid w:val="49021352"/>
    <w:rsid w:val="4FB80849"/>
    <w:rsid w:val="52667767"/>
    <w:rsid w:val="555872BB"/>
    <w:rsid w:val="55CA6B60"/>
    <w:rsid w:val="579E0D3D"/>
    <w:rsid w:val="592C52DA"/>
    <w:rsid w:val="5AD4535B"/>
    <w:rsid w:val="5C5B1CA0"/>
    <w:rsid w:val="5DB7E539"/>
    <w:rsid w:val="5FE514F1"/>
    <w:rsid w:val="604068AC"/>
    <w:rsid w:val="619A4971"/>
    <w:rsid w:val="622D3EE0"/>
    <w:rsid w:val="62E57C95"/>
    <w:rsid w:val="65AC54F2"/>
    <w:rsid w:val="66DACB0B"/>
    <w:rsid w:val="676B2ACA"/>
    <w:rsid w:val="697BF56A"/>
    <w:rsid w:val="6B6CE30F"/>
    <w:rsid w:val="6C7F1319"/>
    <w:rsid w:val="6DDF74AC"/>
    <w:rsid w:val="6FAF0D8D"/>
    <w:rsid w:val="6FCFCADC"/>
    <w:rsid w:val="6FFA4FE6"/>
    <w:rsid w:val="72EA6C29"/>
    <w:rsid w:val="73675E6A"/>
    <w:rsid w:val="738E39F1"/>
    <w:rsid w:val="75FB0B04"/>
    <w:rsid w:val="762A25A7"/>
    <w:rsid w:val="7698469B"/>
    <w:rsid w:val="77B27817"/>
    <w:rsid w:val="79F7B683"/>
    <w:rsid w:val="7A440EFC"/>
    <w:rsid w:val="7A6A02D0"/>
    <w:rsid w:val="7D0404F7"/>
    <w:rsid w:val="7D73BCCE"/>
    <w:rsid w:val="7DE79FA0"/>
    <w:rsid w:val="7DEBCAFF"/>
    <w:rsid w:val="7EDD8B29"/>
    <w:rsid w:val="7FA514C2"/>
    <w:rsid w:val="7FBB57FF"/>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20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20170308</cp:lastModifiedBy>
  <cp:lastPrinted>2025-02-14T02:21:00Z</cp:lastPrinted>
  <dcterms:modified xsi:type="dcterms:W3CDTF">2025-02-14T03:23:45Z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